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16D" w:rsidRPr="0010354B" w:rsidRDefault="00EA6FC5" w:rsidP="005776E9">
      <w:pPr>
        <w:pStyle w:val="berschrift1"/>
        <w:spacing w:before="0" w:after="0" w:line="276" w:lineRule="auto"/>
        <w:jc w:val="left"/>
      </w:pPr>
      <w:r w:rsidRPr="0010354B">
        <w:t xml:space="preserve">World of Asphalt 2018: </w:t>
      </w:r>
      <w:r w:rsidR="0010354B" w:rsidRPr="0010354B">
        <w:t xml:space="preserve">Die </w:t>
      </w:r>
      <w:r w:rsidRPr="0010354B">
        <w:t xml:space="preserve">Wirtgen Group </w:t>
      </w:r>
      <w:r w:rsidR="0010354B" w:rsidRPr="0010354B">
        <w:t xml:space="preserve">zeigt Lösungen für alle Aufgaben im Asphaltstraßenbau </w:t>
      </w:r>
      <w:bookmarkStart w:id="0" w:name="_GoBack"/>
      <w:bookmarkEnd w:id="0"/>
    </w:p>
    <w:p w:rsidR="0030316D" w:rsidRPr="0010354B" w:rsidRDefault="0030316D" w:rsidP="0030316D">
      <w:pPr>
        <w:pStyle w:val="Text"/>
      </w:pPr>
    </w:p>
    <w:p w:rsidR="0010354B" w:rsidRPr="0010354B" w:rsidRDefault="0010354B" w:rsidP="0010354B">
      <w:pPr>
        <w:pStyle w:val="Text"/>
        <w:spacing w:line="276" w:lineRule="auto"/>
        <w:rPr>
          <w:rStyle w:val="Hervorhebung"/>
        </w:rPr>
      </w:pPr>
      <w:r>
        <w:rPr>
          <w:rStyle w:val="Hervorhebung"/>
        </w:rPr>
        <w:t>Mit einem Querschnitt ihre</w:t>
      </w:r>
      <w:r w:rsidR="000C1707">
        <w:rPr>
          <w:rStyle w:val="Hervorhebung"/>
        </w:rPr>
        <w:t>r</w:t>
      </w:r>
      <w:r>
        <w:rPr>
          <w:rStyle w:val="Hervorhebung"/>
        </w:rPr>
        <w:t xml:space="preserve"> Lösungen für den Asphaltstraßenbau präsentiert </w:t>
      </w:r>
      <w:r w:rsidRPr="0010354B">
        <w:rPr>
          <w:rStyle w:val="Hervorhebung"/>
        </w:rPr>
        <w:t>die Wirtgen Group</w:t>
      </w:r>
      <w:r>
        <w:rPr>
          <w:rStyle w:val="Hervorhebung"/>
        </w:rPr>
        <w:t xml:space="preserve"> auf der diesjährigen World of Asphalt vom 6. bis 8. März 2018 i</w:t>
      </w:r>
      <w:r w:rsidRPr="0010354B">
        <w:rPr>
          <w:rStyle w:val="Hervorhebung"/>
        </w:rPr>
        <w:t>nnovative Technologien und Prod</w:t>
      </w:r>
      <w:r>
        <w:rPr>
          <w:rStyle w:val="Hervorhebung"/>
        </w:rPr>
        <w:t>u</w:t>
      </w:r>
      <w:r w:rsidRPr="0010354B">
        <w:rPr>
          <w:rStyle w:val="Hervorhebung"/>
        </w:rPr>
        <w:t>kte von Wirtgen, Vögele, Hamm und Kleemann</w:t>
      </w:r>
      <w:r w:rsidR="000C1707" w:rsidRPr="000C1707">
        <w:t xml:space="preserve"> </w:t>
      </w:r>
      <w:r w:rsidR="000C1707" w:rsidRPr="000C1707">
        <w:rPr>
          <w:rStyle w:val="Hervorhebung"/>
        </w:rPr>
        <w:t>im George R. Brown Convention Center in Houston</w:t>
      </w:r>
      <w:r>
        <w:rPr>
          <w:rStyle w:val="Hervorhebung"/>
        </w:rPr>
        <w:t>.</w:t>
      </w:r>
    </w:p>
    <w:p w:rsidR="0030316D" w:rsidRPr="000C1707" w:rsidRDefault="0030316D" w:rsidP="00F75B79">
      <w:pPr>
        <w:pStyle w:val="Text"/>
        <w:spacing w:line="276" w:lineRule="auto"/>
      </w:pPr>
    </w:p>
    <w:p w:rsidR="00090A18" w:rsidRPr="0010354B" w:rsidRDefault="0010354B" w:rsidP="00F75B79">
      <w:pPr>
        <w:pStyle w:val="Text"/>
        <w:spacing w:line="276" w:lineRule="auto"/>
        <w:rPr>
          <w:b/>
        </w:rPr>
      </w:pPr>
      <w:r w:rsidRPr="0010354B">
        <w:rPr>
          <w:b/>
        </w:rPr>
        <w:t>Führende Technologien</w:t>
      </w:r>
    </w:p>
    <w:p w:rsidR="0010354B" w:rsidRPr="0010354B" w:rsidRDefault="0010354B" w:rsidP="00F75B79">
      <w:pPr>
        <w:pStyle w:val="Text"/>
        <w:spacing w:line="276" w:lineRule="auto"/>
      </w:pPr>
      <w:r w:rsidRPr="0010354B">
        <w:t xml:space="preserve">Der innovative 10 Fuß-Raupenfertiger SUPER 2000-3i und </w:t>
      </w:r>
      <w:r>
        <w:t xml:space="preserve">der 8 Fuß-Radfertiger SUPER 1703-3i von </w:t>
      </w:r>
      <w:r w:rsidRPr="002F27DF">
        <w:rPr>
          <w:b/>
        </w:rPr>
        <w:t>Vögele</w:t>
      </w:r>
      <w:r>
        <w:t xml:space="preserve"> gehören zu den Messehighlights. Diese speziell für den nordamerikanischen Markt entwickelten Straßenfertiger werden sowohl im Straßen- und Autobahnbau als auch im kommerziellen Großanlagenbau eingesetzt, immer </w:t>
      </w:r>
      <w:r w:rsidR="00D06120">
        <w:t xml:space="preserve">dann, </w:t>
      </w:r>
      <w:r>
        <w:t xml:space="preserve">wenn es um Leistung und Produktivität geht. </w:t>
      </w:r>
    </w:p>
    <w:p w:rsidR="0030316D" w:rsidRPr="00D06120" w:rsidRDefault="0030316D" w:rsidP="00F75B79">
      <w:pPr>
        <w:pStyle w:val="Text"/>
        <w:spacing w:line="276" w:lineRule="auto"/>
      </w:pPr>
    </w:p>
    <w:p w:rsidR="00182CA8" w:rsidRDefault="0010354B" w:rsidP="00182CA8">
      <w:pPr>
        <w:pStyle w:val="Text"/>
        <w:spacing w:line="276" w:lineRule="auto"/>
      </w:pPr>
      <w:r w:rsidRPr="0010354B">
        <w:t xml:space="preserve">Darüber hinaus präsentiert die Wirtgen Group einen repräsentativen Querschnitt aus dem kompletten </w:t>
      </w:r>
      <w:r w:rsidRPr="002F27DF">
        <w:rPr>
          <w:b/>
        </w:rPr>
        <w:t>Wirtgen</w:t>
      </w:r>
      <w:r w:rsidRPr="0010354B">
        <w:t xml:space="preserve"> Produktprogramm von den Klein- bis zu den </w:t>
      </w:r>
      <w:r w:rsidR="002F27DF">
        <w:t>G</w:t>
      </w:r>
      <w:r w:rsidR="002F27DF" w:rsidRPr="0010354B">
        <w:t xml:space="preserve">roßfräsen </w:t>
      </w:r>
      <w:r w:rsidRPr="0010354B">
        <w:t>–</w:t>
      </w:r>
      <w:r w:rsidR="00D06120">
        <w:t xml:space="preserve"> W </w:t>
      </w:r>
      <w:r w:rsidRPr="0010354B">
        <w:t>35 Ri, W 120 CFi, W 210i – u</w:t>
      </w:r>
      <w:r>
        <w:t>n</w:t>
      </w:r>
      <w:r w:rsidRPr="0010354B">
        <w:t>d ein</w:t>
      </w:r>
      <w:r w:rsidR="00D06120">
        <w:t>e</w:t>
      </w:r>
      <w:r w:rsidRPr="0010354B">
        <w:t xml:space="preserve"> Vielzahl </w:t>
      </w:r>
      <w:r w:rsidR="00D06120">
        <w:t xml:space="preserve">an </w:t>
      </w:r>
      <w:r w:rsidRPr="0010354B">
        <w:t>unterschiedlich</w:t>
      </w:r>
      <w:r w:rsidR="00D06120">
        <w:t>en</w:t>
      </w:r>
      <w:r w:rsidRPr="0010354B">
        <w:t xml:space="preserve"> </w:t>
      </w:r>
      <w:r w:rsidRPr="002F27DF">
        <w:rPr>
          <w:b/>
        </w:rPr>
        <w:t>Hamm</w:t>
      </w:r>
      <w:r w:rsidRPr="0010354B">
        <w:t xml:space="preserve"> Walzen, darunter die HD+ 90</w:t>
      </w:r>
      <w:r w:rsidR="002F27DF">
        <w:t>i</w:t>
      </w:r>
      <w:r w:rsidRPr="0010354B">
        <w:t xml:space="preserve"> PH Hybrid-Tandemwalze</w:t>
      </w:r>
      <w:r>
        <w:t xml:space="preserve"> mit ihrer Nordamerika-Premiere. Außerdem wird der mobile Prallbrecher MOBIREX MR 130 Zi EVO2 von </w:t>
      </w:r>
      <w:r w:rsidRPr="002F27DF">
        <w:rPr>
          <w:b/>
        </w:rPr>
        <w:t>Kleemann</w:t>
      </w:r>
      <w:r>
        <w:t xml:space="preserve"> gezeigt, der leicht zu transportieren und flexibel für Naturstein- und Recyclinganwendungen einsetzbar ist.</w:t>
      </w:r>
      <w:r w:rsidRPr="0010354B">
        <w:t xml:space="preserve"> </w:t>
      </w:r>
    </w:p>
    <w:p w:rsidR="00182CA8" w:rsidRPr="00D06120" w:rsidRDefault="00D06120" w:rsidP="00182CA8">
      <w:pPr>
        <w:pStyle w:val="Text"/>
        <w:spacing w:line="276" w:lineRule="auto"/>
      </w:pPr>
      <w:r>
        <w:t>Zusätzlich</w:t>
      </w:r>
      <w:r w:rsidRPr="00D06120">
        <w:t xml:space="preserve"> steht den Messebesuchern ein Simulator zur V</w:t>
      </w:r>
      <w:r>
        <w:t>e</w:t>
      </w:r>
      <w:r w:rsidRPr="00D06120">
        <w:t>rfügung, der die Verdichtung mit den neuen Hamm DV+ Walzen simuliert.</w:t>
      </w:r>
    </w:p>
    <w:p w:rsidR="00182CA8" w:rsidRPr="00D06120" w:rsidRDefault="00182CA8" w:rsidP="00182CA8">
      <w:pPr>
        <w:pStyle w:val="Text"/>
        <w:spacing w:line="276" w:lineRule="auto"/>
      </w:pPr>
    </w:p>
    <w:p w:rsidR="00BC706B" w:rsidRPr="00D06120" w:rsidRDefault="00BC706B" w:rsidP="00BC706B">
      <w:pPr>
        <w:pStyle w:val="Text"/>
        <w:spacing w:line="276" w:lineRule="auto"/>
        <w:rPr>
          <w:b/>
        </w:rPr>
      </w:pPr>
      <w:r w:rsidRPr="00D06120">
        <w:rPr>
          <w:b/>
        </w:rPr>
        <w:t xml:space="preserve">Close to our Customers: </w:t>
      </w:r>
      <w:r w:rsidR="00D06120" w:rsidRPr="00D06120">
        <w:rPr>
          <w:b/>
        </w:rPr>
        <w:t>Know-how von der Anwendungsberatung bis zum Vor-Ort-Service</w:t>
      </w:r>
    </w:p>
    <w:p w:rsidR="00BC706B" w:rsidRPr="00D06120" w:rsidRDefault="00D06120" w:rsidP="00182CA8">
      <w:pPr>
        <w:pStyle w:val="Text"/>
        <w:spacing w:line="276" w:lineRule="auto"/>
      </w:pPr>
      <w:r w:rsidRPr="00D06120">
        <w:t xml:space="preserve">Am Wirtgen Group Stand (Nr. 1324) stehen die Wirtgen Group Anwendungsexperten für persönliche Gespräche zur Verfügung, um die Besucher auf den neuesten Stand des </w:t>
      </w:r>
      <w:r w:rsidR="004507AD">
        <w:t>optimal</w:t>
      </w:r>
      <w:r w:rsidRPr="00D06120">
        <w:t xml:space="preserve"> aufeinander abgestimmten Wirtgen Group Produkt- und Dienstleistungsangebots zu bringen.</w:t>
      </w:r>
    </w:p>
    <w:p w:rsidR="002E765F" w:rsidRPr="00D06120" w:rsidRDefault="002E765F" w:rsidP="00622538">
      <w:pPr>
        <w:pStyle w:val="Text"/>
      </w:pPr>
      <w:r w:rsidRPr="00D06120">
        <w:br w:type="page"/>
      </w:r>
    </w:p>
    <w:p w:rsidR="0030316D" w:rsidRPr="0030316D" w:rsidRDefault="008427F2" w:rsidP="0030316D">
      <w:pPr>
        <w:pStyle w:val="HeadlineFotos"/>
      </w:pPr>
      <w:r w:rsidRPr="001B0A9E">
        <w:rPr>
          <w:rFonts w:eastAsia="Calibri" w:cs="Arial"/>
          <w:caps w:val="0"/>
          <w:szCs w:val="22"/>
        </w:rPr>
        <w:lastRenderedPageBreak/>
        <w:t>Fotos</w:t>
      </w:r>
      <w:r w:rsidR="00D166AC">
        <w:t>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7"/>
        <w:gridCol w:w="4801"/>
      </w:tblGrid>
      <w:tr w:rsidR="00D166AC" w:rsidRPr="00D06120" w:rsidTr="009D016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D166AC" w:rsidRPr="00D166AC" w:rsidRDefault="0030316D" w:rsidP="00D166AC">
            <w:r>
              <w:rPr>
                <w:b/>
                <w:noProof/>
                <w:lang w:eastAsia="de-DE"/>
              </w:rPr>
              <w:drawing>
                <wp:inline distT="0" distB="0" distL="0" distR="0" wp14:anchorId="69254459" wp14:editId="55BBEBE3">
                  <wp:extent cx="2803525" cy="1689396"/>
                  <wp:effectExtent l="0" t="0" r="0" b="6350"/>
                  <wp:docPr id="2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689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30316D" w:rsidRPr="000C1707" w:rsidRDefault="006630CD" w:rsidP="0030316D">
            <w:pPr>
              <w:pStyle w:val="berschrift3"/>
              <w:outlineLvl w:val="2"/>
            </w:pPr>
            <w:r w:rsidRPr="000C1707">
              <w:t>B_Group_09068_HI</w:t>
            </w:r>
          </w:p>
          <w:p w:rsidR="00D166AC" w:rsidRPr="00D06120" w:rsidRDefault="00D06120" w:rsidP="00D06120">
            <w:pPr>
              <w:pStyle w:val="Text"/>
              <w:jc w:val="left"/>
              <w:rPr>
                <w:sz w:val="20"/>
              </w:rPr>
            </w:pPr>
            <w:r w:rsidRPr="00D06120">
              <w:rPr>
                <w:sz w:val="20"/>
              </w:rPr>
              <w:t>Auf der World of Asphalt 2018 vom 6. bis 8. März in Houston präsentiert die Wirtgen Group hochwertige Produkte und innovative Straßentechnologien.</w:t>
            </w:r>
          </w:p>
        </w:tc>
      </w:tr>
    </w:tbl>
    <w:p w:rsidR="00D166AC" w:rsidRPr="00D06120" w:rsidRDefault="00D166AC" w:rsidP="00D166AC">
      <w:pPr>
        <w:pStyle w:val="Text"/>
      </w:pPr>
    </w:p>
    <w:p w:rsidR="000A25D1" w:rsidRPr="00D06120" w:rsidRDefault="000A25D1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9"/>
        <w:gridCol w:w="4799"/>
      </w:tblGrid>
      <w:tr w:rsidR="000A25D1" w:rsidRPr="00D06120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06120" w:rsidRDefault="000A25D1" w:rsidP="00AF004D">
            <w:pPr>
              <w:rPr>
                <w:lang w:val="en-US"/>
              </w:rPr>
            </w:pPr>
            <w:r>
              <w:rPr>
                <w:b/>
                <w:noProof/>
                <w:lang w:eastAsia="de-DE"/>
              </w:rPr>
              <w:drawing>
                <wp:inline distT="0" distB="0" distL="0" distR="0" wp14:anchorId="25555056" wp14:editId="54F7CA28">
                  <wp:extent cx="2801964" cy="1870744"/>
                  <wp:effectExtent l="0" t="0" r="0" b="0"/>
                  <wp:docPr id="13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1964" cy="1870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0C1707" w:rsidRDefault="00CC5861" w:rsidP="00AF004D">
            <w:pPr>
              <w:pStyle w:val="berschrift3"/>
              <w:outlineLvl w:val="2"/>
            </w:pPr>
            <w:r w:rsidRPr="000C1707">
              <w:t>W220i_00013_HI</w:t>
            </w:r>
          </w:p>
          <w:p w:rsidR="000A25D1" w:rsidRPr="00D06120" w:rsidRDefault="00D06120" w:rsidP="00710729">
            <w:pPr>
              <w:pStyle w:val="Text"/>
              <w:jc w:val="left"/>
              <w:rPr>
                <w:sz w:val="20"/>
              </w:rPr>
            </w:pPr>
            <w:r w:rsidRPr="00D06120">
              <w:rPr>
                <w:sz w:val="20"/>
              </w:rPr>
              <w:t>Mit Arbeitsbreiten von 1,5 m bis 4,4 m sind die Wirtgen Großfräsen ebenso wie die Klein- und Kompaktfräsen mit Innovationen ausgestattet, die die Wirtschaftlichkeit weiter optimieren.</w:t>
            </w:r>
          </w:p>
        </w:tc>
      </w:tr>
    </w:tbl>
    <w:p w:rsidR="000A25D1" w:rsidRPr="00D06120" w:rsidRDefault="000A25D1" w:rsidP="00D166AC">
      <w:pPr>
        <w:pStyle w:val="Text"/>
      </w:pPr>
    </w:p>
    <w:p w:rsidR="000A25D1" w:rsidRPr="00D06120" w:rsidRDefault="000A25D1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1"/>
        <w:gridCol w:w="4807"/>
      </w:tblGrid>
      <w:tr w:rsidR="000A25D1" w:rsidRPr="00D06120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eastAsia="de-DE"/>
              </w:rPr>
              <w:drawing>
                <wp:inline distT="0" distB="0" distL="0" distR="0" wp14:anchorId="41135558" wp14:editId="1DBDF1A1">
                  <wp:extent cx="2800350" cy="2099605"/>
                  <wp:effectExtent l="0" t="0" r="0" b="0"/>
                  <wp:docPr id="1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5324" cy="2103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6630CD" w:rsidRDefault="00752377" w:rsidP="00752377">
            <w:pPr>
              <w:pStyle w:val="berschrift3"/>
              <w:jc w:val="left"/>
              <w:outlineLvl w:val="2"/>
              <w:rPr>
                <w:lang w:val="en-US"/>
              </w:rPr>
            </w:pPr>
            <w:r>
              <w:rPr>
                <w:lang w:val="en-US"/>
              </w:rPr>
              <w:t xml:space="preserve">Voegele_SUPER_1700-3i and </w:t>
            </w:r>
            <w:r w:rsidRPr="00752377">
              <w:rPr>
                <w:lang w:val="en-US"/>
              </w:rPr>
              <w:t>SUPER_1703-3i</w:t>
            </w:r>
          </w:p>
          <w:p w:rsidR="000A25D1" w:rsidRPr="00D06120" w:rsidRDefault="00D06120" w:rsidP="007F39E3">
            <w:pPr>
              <w:pStyle w:val="Text"/>
              <w:jc w:val="left"/>
              <w:rPr>
                <w:sz w:val="20"/>
              </w:rPr>
            </w:pPr>
            <w:r w:rsidRPr="00D06120">
              <w:rPr>
                <w:sz w:val="20"/>
              </w:rPr>
              <w:t>Der neue Maßstab bei den 8-Fuß-Fertigern: die Vögele Fertiger</w:t>
            </w:r>
            <w:r>
              <w:rPr>
                <w:sz w:val="20"/>
              </w:rPr>
              <w:t>der Universal Class SUPER 1700-3i und SUPER 1703-3i.</w:t>
            </w:r>
          </w:p>
        </w:tc>
      </w:tr>
    </w:tbl>
    <w:p w:rsidR="000A25D1" w:rsidRPr="00D06120" w:rsidRDefault="000A25D1" w:rsidP="00D166AC">
      <w:pPr>
        <w:pStyle w:val="Text"/>
      </w:pPr>
    </w:p>
    <w:p w:rsidR="000A25D1" w:rsidRPr="00D06120" w:rsidRDefault="000A25D1" w:rsidP="00D166AC">
      <w:pPr>
        <w:pStyle w:val="Text"/>
      </w:pPr>
    </w:p>
    <w:p w:rsidR="000A25D1" w:rsidRPr="00D06120" w:rsidRDefault="000A25D1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13"/>
        <w:gridCol w:w="4795"/>
      </w:tblGrid>
      <w:tr w:rsidR="009C240E" w:rsidRPr="00D06120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9C240E" w:rsidRPr="00D166AC" w:rsidRDefault="009C240E" w:rsidP="00AF004D">
            <w:r>
              <w:rPr>
                <w:b/>
                <w:noProof/>
                <w:lang w:eastAsia="de-DE"/>
              </w:rPr>
              <w:lastRenderedPageBreak/>
              <w:drawing>
                <wp:inline distT="0" distB="0" distL="0" distR="0" wp14:anchorId="1AEB6D1B" wp14:editId="54C56073">
                  <wp:extent cx="2794531" cy="1975734"/>
                  <wp:effectExtent l="0" t="0" r="6350" b="5715"/>
                  <wp:docPr id="4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531" cy="19757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0A25D1" w:rsidRPr="000C1707" w:rsidRDefault="000A25D1" w:rsidP="000A25D1">
            <w:pPr>
              <w:contextualSpacing/>
              <w:rPr>
                <w:rFonts w:ascii="Verdana" w:eastAsia="Times New Roman" w:hAnsi="Verdana" w:cs="Times New Roman"/>
                <w:b/>
                <w:snapToGrid w:val="0"/>
                <w:sz w:val="20"/>
                <w:szCs w:val="24"/>
                <w:lang w:eastAsia="de-CH"/>
              </w:rPr>
            </w:pPr>
            <w:r w:rsidRPr="000C1707">
              <w:rPr>
                <w:rFonts w:ascii="Verdana" w:eastAsia="Times New Roman" w:hAnsi="Verdana" w:cs="Times New Roman"/>
                <w:b/>
                <w:snapToGrid w:val="0"/>
                <w:sz w:val="20"/>
                <w:szCs w:val="24"/>
                <w:lang w:eastAsia="de-CH"/>
              </w:rPr>
              <w:t>HAMM_ Easy Drive_02</w:t>
            </w:r>
          </w:p>
          <w:p w:rsidR="000A25D1" w:rsidRPr="000C1707" w:rsidRDefault="000A25D1" w:rsidP="000A25D1">
            <w:pPr>
              <w:tabs>
                <w:tab w:val="left" w:pos="4475"/>
              </w:tabs>
              <w:ind w:right="85"/>
              <w:contextualSpacing/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</w:pPr>
          </w:p>
          <w:p w:rsidR="009C240E" w:rsidRPr="00D06120" w:rsidRDefault="00D06120" w:rsidP="0090712E">
            <w:pPr>
              <w:pStyle w:val="Text"/>
              <w:jc w:val="left"/>
              <w:rPr>
                <w:sz w:val="20"/>
              </w:rPr>
            </w:pPr>
            <w:r w:rsidRPr="00D06120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>Ein einziges Bedienkonzept für alle</w:t>
            </w:r>
            <w:r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 Hamm Walzen: Easy Drive ist in 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>den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 </w:t>
            </w:r>
            <w:r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allradgelenkten Tandemwalzen der DV+-Serie, 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>den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 </w:t>
            </w:r>
            <w:r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knickgelenkten Tamdemwalzen der HD+-Serie und 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>den</w:t>
            </w:r>
            <w:r w:rsidR="0090712E"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 xml:space="preserve"> </w:t>
            </w:r>
            <w:r>
              <w:rPr>
                <w:rFonts w:ascii="Verdana" w:eastAsia="Times New Roman" w:hAnsi="Verdana" w:cs="Times New Roman"/>
                <w:snapToGrid w:val="0"/>
                <w:sz w:val="20"/>
                <w:szCs w:val="24"/>
                <w:lang w:eastAsia="de-CH"/>
              </w:rPr>
              <w:t>Walzenzüge der Serie H integriert.</w:t>
            </w:r>
          </w:p>
        </w:tc>
      </w:tr>
    </w:tbl>
    <w:p w:rsidR="009C240E" w:rsidRPr="00D06120" w:rsidRDefault="009C240E" w:rsidP="00D166AC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4"/>
        <w:gridCol w:w="4804"/>
      </w:tblGrid>
      <w:tr w:rsidR="000A25D1" w:rsidRPr="00D06120" w:rsidTr="00AF00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0A25D1" w:rsidRPr="00D166AC" w:rsidRDefault="000A25D1" w:rsidP="00AF004D">
            <w:r>
              <w:rPr>
                <w:b/>
                <w:noProof/>
                <w:lang w:eastAsia="de-DE"/>
              </w:rPr>
              <w:drawing>
                <wp:inline distT="0" distB="0" distL="0" distR="0" wp14:anchorId="305F8EFA" wp14:editId="5CFCDEB7">
                  <wp:extent cx="2803524" cy="1510451"/>
                  <wp:effectExtent l="0" t="0" r="0" b="0"/>
                  <wp:docPr id="15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4" cy="1510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FA4EC4" w:rsidRPr="000C1707" w:rsidRDefault="00FA4EC4" w:rsidP="00FA4EC4">
            <w:pPr>
              <w:pStyle w:val="berschrift3"/>
              <w:outlineLvl w:val="2"/>
              <w:rPr>
                <w:szCs w:val="20"/>
              </w:rPr>
            </w:pPr>
            <w:r w:rsidRPr="000C1707">
              <w:rPr>
                <w:szCs w:val="20"/>
              </w:rPr>
              <w:t>EVO_line</w:t>
            </w:r>
          </w:p>
          <w:p w:rsidR="000A25D1" w:rsidRPr="00D06120" w:rsidRDefault="00D06120" w:rsidP="00FA4EC4">
            <w:pPr>
              <w:pStyle w:val="Text"/>
              <w:jc w:val="left"/>
              <w:rPr>
                <w:sz w:val="20"/>
              </w:rPr>
            </w:pPr>
            <w:r w:rsidRPr="00D06120">
              <w:rPr>
                <w:sz w:val="20"/>
              </w:rPr>
              <w:t>Brechanlagen der EVO-Baureihe zeichnen sich durch gute Transporteigenschaften, flexible Einsatzmöglichkeiten und hohe Leistung bei geringem Verbrauch aus.</w:t>
            </w:r>
          </w:p>
        </w:tc>
      </w:tr>
    </w:tbl>
    <w:p w:rsidR="000A25D1" w:rsidRPr="00D06120" w:rsidRDefault="000A25D1" w:rsidP="00D166AC">
      <w:pPr>
        <w:pStyle w:val="Text"/>
      </w:pPr>
    </w:p>
    <w:p w:rsidR="00D06120" w:rsidRDefault="00D06120" w:rsidP="00D06120">
      <w:pPr>
        <w:pStyle w:val="Text"/>
      </w:pPr>
      <w:r>
        <w:rPr>
          <w:i/>
          <w:u w:val="single"/>
        </w:rPr>
        <w:t>Hinweis:</w:t>
      </w:r>
      <w:r>
        <w:rPr>
          <w:i/>
        </w:rPr>
        <w:t xml:space="preserve"> Diese Fotos dienen lediglich der Voransicht. Für den Abdruck in den Publikationen nutzen Sie bitte die Fotos in 300 dpi-Auflösung, die auf den Webseiten der Wirtgen GmbH /Wirtgen Group als Download zur Verfügung stehen.</w:t>
      </w:r>
    </w:p>
    <w:p w:rsidR="00D06120" w:rsidRDefault="00D06120" w:rsidP="00D06120">
      <w:pPr>
        <w:pStyle w:val="Text"/>
      </w:pPr>
    </w:p>
    <w:p w:rsidR="00D06120" w:rsidRDefault="00D06120" w:rsidP="00D06120">
      <w:pPr>
        <w:pStyle w:val="Text"/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D06120" w:rsidTr="008F120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</w:tcPr>
          <w:p w:rsidR="00D06120" w:rsidRDefault="00D06120" w:rsidP="008F1205">
            <w:pPr>
              <w:pStyle w:val="HeadlineKontakte"/>
              <w:rPr>
                <w:rFonts w:ascii="Verdana" w:eastAsia="Calibri" w:hAnsi="Verdana" w:cs="Times New Roman"/>
                <w:caps w:val="0"/>
                <w:szCs w:val="22"/>
              </w:rPr>
            </w:pPr>
            <w:r>
              <w:rPr>
                <w:rFonts w:ascii="Verdana" w:eastAsia="Calibri" w:hAnsi="Verdana" w:cs="Times New Roman"/>
                <w:caps w:val="0"/>
                <w:szCs w:val="22"/>
              </w:rPr>
              <w:t xml:space="preserve">Weitere Informationen </w:t>
            </w:r>
          </w:p>
          <w:p w:rsidR="00D06120" w:rsidRDefault="00D06120" w:rsidP="008F1205">
            <w:pPr>
              <w:pStyle w:val="HeadlineKontakte"/>
            </w:pPr>
            <w:r>
              <w:rPr>
                <w:rFonts w:ascii="Verdana" w:eastAsia="Calibri" w:hAnsi="Verdana" w:cs="Times New Roman"/>
                <w:caps w:val="0"/>
                <w:szCs w:val="22"/>
              </w:rPr>
              <w:t>erhalten Sie bei</w:t>
            </w:r>
            <w:r>
              <w:t>:</w:t>
            </w:r>
          </w:p>
          <w:p w:rsidR="00D06120" w:rsidRPr="000C1707" w:rsidRDefault="00D06120" w:rsidP="008F1205">
            <w:pPr>
              <w:pStyle w:val="Text"/>
              <w:rPr>
                <w:lang w:val="en-US"/>
              </w:rPr>
            </w:pPr>
            <w:r w:rsidRPr="000C1707">
              <w:rPr>
                <w:lang w:val="en-US"/>
              </w:rPr>
              <w:t>WIRTGEN GmbH</w:t>
            </w:r>
          </w:p>
          <w:p w:rsidR="00D06120" w:rsidRPr="000C1707" w:rsidRDefault="00D06120" w:rsidP="008F1205">
            <w:pPr>
              <w:pStyle w:val="Text"/>
              <w:rPr>
                <w:lang w:val="en-US"/>
              </w:rPr>
            </w:pPr>
            <w:r w:rsidRPr="000C1707">
              <w:rPr>
                <w:lang w:val="en-US"/>
              </w:rPr>
              <w:t>Corporate Communications</w:t>
            </w:r>
          </w:p>
          <w:p w:rsidR="00D06120" w:rsidRPr="000C1707" w:rsidRDefault="00D06120" w:rsidP="008F1205">
            <w:pPr>
              <w:pStyle w:val="Text"/>
              <w:rPr>
                <w:lang w:val="en-US"/>
              </w:rPr>
            </w:pPr>
            <w:r w:rsidRPr="000C1707">
              <w:rPr>
                <w:lang w:val="en-US"/>
              </w:rPr>
              <w:t>Michaela Adams, Mario Linnemann</w:t>
            </w:r>
          </w:p>
          <w:p w:rsidR="00D06120" w:rsidRDefault="00D06120" w:rsidP="008F1205">
            <w:pPr>
              <w:pStyle w:val="Text"/>
            </w:pPr>
            <w:r>
              <w:t>Reinhard-Wirtgen-Straße 2</w:t>
            </w:r>
          </w:p>
          <w:p w:rsidR="00D06120" w:rsidRDefault="00D06120" w:rsidP="008F1205">
            <w:pPr>
              <w:pStyle w:val="Text"/>
            </w:pPr>
            <w:r>
              <w:t>53578 Windhagen</w:t>
            </w:r>
          </w:p>
          <w:p w:rsidR="00D06120" w:rsidRDefault="00D06120" w:rsidP="008F1205">
            <w:pPr>
              <w:pStyle w:val="Text"/>
            </w:pPr>
            <w:r>
              <w:t>Deutschland</w:t>
            </w:r>
          </w:p>
          <w:p w:rsidR="00D06120" w:rsidRDefault="00D06120" w:rsidP="008F1205">
            <w:pPr>
              <w:pStyle w:val="Text"/>
            </w:pPr>
          </w:p>
          <w:p w:rsidR="00D06120" w:rsidRDefault="00D06120" w:rsidP="008F1205">
            <w:pPr>
              <w:pStyle w:val="Text"/>
            </w:pPr>
            <w:r>
              <w:t>Telefon: +49 (0) 2645 131 – 4510</w:t>
            </w:r>
          </w:p>
          <w:p w:rsidR="00D06120" w:rsidRDefault="00D06120" w:rsidP="008F1205">
            <w:pPr>
              <w:pStyle w:val="Text"/>
            </w:pPr>
            <w:r>
              <w:t>Telefax: +49 (0) 2645 131 – 499</w:t>
            </w:r>
          </w:p>
          <w:p w:rsidR="00D06120" w:rsidRDefault="00D06120" w:rsidP="008F1205">
            <w:pPr>
              <w:pStyle w:val="Text"/>
            </w:pPr>
            <w:r>
              <w:t>E-mail: presse@wirtgen.com</w:t>
            </w:r>
          </w:p>
          <w:p w:rsidR="00D06120" w:rsidRDefault="00D06120" w:rsidP="008F1205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</w:tcPr>
          <w:p w:rsidR="00D06120" w:rsidRDefault="00D06120" w:rsidP="008F1205">
            <w:pPr>
              <w:pStyle w:val="Text"/>
            </w:pPr>
          </w:p>
        </w:tc>
      </w:tr>
    </w:tbl>
    <w:p w:rsidR="00D166AC" w:rsidRPr="00D166AC" w:rsidRDefault="00D166AC" w:rsidP="00D166AC">
      <w:pPr>
        <w:pStyle w:val="Text"/>
      </w:pPr>
    </w:p>
    <w:sectPr w:rsidR="00D166AC" w:rsidRPr="00D166AC" w:rsidSect="003A753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118" w:rsidRDefault="00427118" w:rsidP="00E55534">
      <w:r>
        <w:separator/>
      </w:r>
    </w:p>
  </w:endnote>
  <w:endnote w:type="continuationSeparator" w:id="0">
    <w:p w:rsidR="00427118" w:rsidRDefault="00427118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6217"/>
      <w:tblW w:w="0" w:type="auto"/>
      <w:tblLayout w:type="fixed"/>
      <w:tblLook w:val="04A0" w:firstRow="1" w:lastRow="0" w:firstColumn="1" w:lastColumn="0" w:noHBand="0" w:noVBand="1"/>
    </w:tblPr>
    <w:tblGrid>
      <w:gridCol w:w="8364"/>
      <w:gridCol w:w="1160"/>
    </w:tblGrid>
    <w:sdt>
      <w:sdtPr>
        <w:rPr>
          <w:szCs w:val="16"/>
        </w:rPr>
        <w:id w:val="-214889975"/>
        <w:lock w:val="sdtContentLocked"/>
      </w:sdtPr>
      <w:sdtEndPr/>
      <w:sdtContent>
        <w:tr w:rsidR="00A171F4" w:rsidRPr="008C2DB2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227"/>
          </w:trPr>
          <w:sdt>
            <w:sdtPr>
              <w:rPr>
                <w:szCs w:val="16"/>
              </w:rPr>
              <w:id w:val="1167366250"/>
              <w:showingPlcHdr/>
            </w:sdtPr>
            <w:sdtEndPr>
              <w:rPr>
                <w:szCs w:val="20"/>
              </w:rPr>
            </w:sdtEndPr>
            <w:sdtContent>
              <w:tc>
                <w:tcPr>
                  <w:tcW w:w="8364" w:type="dxa"/>
                </w:tcPr>
                <w:p w:rsidR="00A171F4" w:rsidRPr="008C2DB2" w:rsidRDefault="00A171F4" w:rsidP="005711A3">
                  <w:pPr>
                    <w:pStyle w:val="Kolumnentitel"/>
                  </w:pPr>
                  <w:r>
                    <w:rPr>
                      <w:rStyle w:val="Platzhaltertext"/>
                    </w:rPr>
                    <w:t xml:space="preserve">     </w:t>
                  </w:r>
                </w:p>
              </w:tc>
            </w:sdtContent>
          </w:sdt>
          <w:tc>
            <w:tcPr>
              <w:tcW w:w="1160" w:type="dxa"/>
            </w:tcPr>
            <w:sdt>
              <w:sdtPr>
                <w:id w:val="-1133938393"/>
              </w:sdtPr>
              <w:sdtEndPr/>
              <w:sdtContent>
                <w:p w:rsidR="00A171F4" w:rsidRPr="008C2DB2" w:rsidRDefault="00A171F4" w:rsidP="0012026F">
                  <w:pPr>
                    <w:pStyle w:val="Seitenzahlen"/>
                  </w:pPr>
                  <w:r w:rsidRPr="008C2DB2">
                    <w:fldChar w:fldCharType="begin"/>
                  </w:r>
                  <w:r>
                    <w:instrText xml:space="preserve"> </w:instrText>
                  </w:r>
                  <w:r w:rsidRPr="008C2DB2">
                    <w:instrText>PAGE \# "00"</w:instrText>
                  </w:r>
                  <w:r w:rsidRPr="008C2DB2">
                    <w:fldChar w:fldCharType="separate"/>
                  </w:r>
                  <w:r w:rsidR="00403CF0">
                    <w:rPr>
                      <w:noProof/>
                    </w:rPr>
                    <w:t>02</w:t>
                  </w:r>
                  <w:r w:rsidRPr="008C2DB2">
                    <w:fldChar w:fldCharType="end"/>
                  </w:r>
                </w:p>
              </w:sdtContent>
            </w:sdt>
          </w:tc>
        </w:tr>
      </w:sdtContent>
    </w:sdt>
  </w:tbl>
  <w:sdt>
    <w:sdtPr>
      <w:id w:val="-95864226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70528" behindDoc="0" locked="0" layoutInCell="1" allowOverlap="1" wp14:anchorId="66BB0AFC" wp14:editId="30A16587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10189210</wp:posOffset>
                  </wp:positionV>
                  <wp:extent cx="6048000" cy="18000"/>
                  <wp:effectExtent l="0" t="0" r="0" b="1270"/>
                  <wp:wrapNone/>
                  <wp:docPr id="12" name="Rechteck 1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2" o:spid="_x0000_s1026" style="position:absolute;margin-left:59.55pt;margin-top:802.3pt;width:476.2pt;height:1.4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Basic"/>
      <w:tblpPr w:leftFromText="142" w:rightFromText="142" w:vertAnchor="page" w:horzAnchor="page" w:tblpX="1192" w:tblpY="15934"/>
      <w:tblOverlap w:val="never"/>
      <w:tblW w:w="0" w:type="auto"/>
      <w:tblLook w:val="04A0" w:firstRow="1" w:lastRow="0" w:firstColumn="1" w:lastColumn="0" w:noHBand="0" w:noVBand="1"/>
    </w:tblPr>
    <w:tblGrid>
      <w:gridCol w:w="9524"/>
    </w:tblGrid>
    <w:sdt>
      <w:sdtPr>
        <w:rPr>
          <w:rStyle w:val="Hervorhebung"/>
          <w:szCs w:val="16"/>
        </w:rPr>
        <w:id w:val="-2088915428"/>
        <w:lock w:val="sdtContentLocked"/>
      </w:sdtPr>
      <w:sdtEndPr>
        <w:rPr>
          <w:rStyle w:val="Absatz-Standardschriftart"/>
          <w:b w:val="0"/>
          <w:iCs w:val="0"/>
        </w:rPr>
      </w:sdtEndPr>
      <w:sdtContent>
        <w:tr w:rsidR="00A171F4" w:rsidTr="0012026F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/w:trPr>
          <w:tc>
            <w:tcPr>
              <w:tcW w:w="9664" w:type="dxa"/>
            </w:tcPr>
            <w:p w:rsidR="00A171F4" w:rsidRDefault="00A171F4" w:rsidP="0012026F">
              <w:pPr>
                <w:pStyle w:val="Fuzeile"/>
                <w:spacing w:before="96" w:after="96"/>
              </w:pPr>
              <w:r w:rsidRPr="003E1CB6">
                <w:rPr>
                  <w:rStyle w:val="Hervorhebung"/>
                </w:rPr>
                <w:t>WIRTGEN GmbH</w:t>
              </w:r>
              <w:r w:rsidRPr="00CF36C9">
                <w:t xml:space="preserve"> · Reinhard-Wirtgen-Str. 2 · D-53578 Windhagen · T: +49 26 45 / 131 0</w:t>
              </w:r>
            </w:p>
          </w:tc>
        </w:tr>
      </w:sdtContent>
    </w:sdt>
  </w:tbl>
  <w:sdt>
    <w:sdtPr>
      <w:id w:val="-1944752626"/>
      <w:lock w:val="sdtContentLocked"/>
    </w:sdtPr>
    <w:sdtEndPr/>
    <w:sdtContent>
      <w:p w:rsidR="00A171F4" w:rsidRDefault="00A171F4">
        <w:pPr>
          <w:pStyle w:val="Fu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2336" behindDoc="0" locked="0" layoutInCell="1" allowOverlap="1" wp14:anchorId="299DAB49" wp14:editId="20C0DA26">
                  <wp:simplePos x="0" y="0"/>
                  <wp:positionH relativeFrom="page">
                    <wp:posOffset>756285</wp:posOffset>
                  </wp:positionH>
                  <wp:positionV relativeFrom="page">
                    <wp:posOffset>10081260</wp:posOffset>
                  </wp:positionV>
                  <wp:extent cx="6048000" cy="18000"/>
                  <wp:effectExtent l="0" t="0" r="0" b="1270"/>
                  <wp:wrapNone/>
                  <wp:docPr id="6" name="Rechteck 6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18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6" o:spid="_x0000_s1026" style="position:absolute;margin-left:59.55pt;margin-top:793.8pt;width:476.2pt;height:1.4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118" w:rsidRDefault="00427118" w:rsidP="00E55534">
      <w:r>
        <w:separator/>
      </w:r>
    </w:p>
  </w:footnote>
  <w:footnote w:type="continuationSeparator" w:id="0">
    <w:p w:rsidR="00427118" w:rsidRDefault="00427118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4"/>
      </w:rPr>
      <w:id w:val="1105004567"/>
      <w:lock w:val="sdtContentLocked"/>
    </w:sdtPr>
    <w:sdtEndPr/>
    <w:sdtContent>
      <w:p w:rsidR="00A171F4" w:rsidRPr="002E765F" w:rsidRDefault="0030316D">
        <w:pPr>
          <w:pStyle w:val="Kopfzeile"/>
          <w:rPr>
            <w:noProof/>
            <w:sz w:val="14"/>
            <w:lang w:eastAsia="de-DE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2576" behindDoc="0" locked="0" layoutInCell="1" allowOverlap="1" wp14:anchorId="4AFB888B" wp14:editId="2EB219EF">
              <wp:simplePos x="0" y="0"/>
              <wp:positionH relativeFrom="page">
                <wp:posOffset>756285</wp:posOffset>
              </wp:positionH>
              <wp:positionV relativeFrom="page">
                <wp:posOffset>288290</wp:posOffset>
              </wp:positionV>
              <wp:extent cx="2635200" cy="288000"/>
              <wp:effectExtent l="0" t="0" r="0" b="0"/>
              <wp:wrapNone/>
              <wp:docPr id="9" name="Grafik 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635200" cy="288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tbl>
        <w:tblPr>
          <w:tblStyle w:val="Basic"/>
          <w:tblpPr w:vertAnchor="page" w:horzAnchor="page" w:tblpX="7287" w:tblpY="1379"/>
          <w:tblW w:w="0" w:type="auto"/>
          <w:tblLayout w:type="fixed"/>
          <w:tblLook w:val="04A0" w:firstRow="1" w:lastRow="0" w:firstColumn="1" w:lastColumn="0" w:noHBand="0" w:noVBand="1"/>
        </w:tblPr>
        <w:tblGrid>
          <w:gridCol w:w="3439"/>
        </w:tblGrid>
        <w:tr w:rsidR="00A171F4" w:rsidRPr="002E765F" w:rsidTr="00D166AC">
          <w:tr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trHeight w:hRule="exact" w:val="510"/>
          </w:trPr>
          <w:tc>
            <w:tcPr>
              <w:tcW w:w="3439" w:type="dxa"/>
            </w:tcPr>
            <w:p w:rsidR="00A171F4" w:rsidRPr="002E765F" w:rsidRDefault="00A171F4" w:rsidP="00D166AC">
              <w:pPr>
                <w:pStyle w:val="Titel"/>
                <w:jc w:val="right"/>
                <w:rPr>
                  <w:sz w:val="32"/>
                  <w:szCs w:val="34"/>
                </w:rPr>
              </w:pPr>
              <w:r w:rsidRPr="002E765F">
                <w:rPr>
                  <w:sz w:val="32"/>
                  <w:szCs w:val="34"/>
                </w:rPr>
                <w:t>PRESS</w:t>
              </w:r>
              <w:r>
                <w:rPr>
                  <w:sz w:val="32"/>
                  <w:szCs w:val="34"/>
                </w:rPr>
                <w:t xml:space="preserve"> </w:t>
              </w:r>
              <w:r w:rsidRPr="002E765F">
                <w:rPr>
                  <w:sz w:val="6"/>
                  <w:szCs w:val="2"/>
                </w:rPr>
                <w:t xml:space="preserve"> </w:t>
              </w:r>
              <w:r>
                <w:rPr>
                  <w:sz w:val="32"/>
                  <w:szCs w:val="34"/>
                </w:rPr>
                <w:t>R</w:t>
              </w:r>
              <w:r w:rsidRPr="002E765F">
                <w:rPr>
                  <w:sz w:val="32"/>
                  <w:szCs w:val="34"/>
                </w:rPr>
                <w:t>ELEASE</w:t>
              </w:r>
            </w:p>
          </w:tc>
        </w:tr>
      </w:tbl>
      <w:p w:rsidR="00A171F4" w:rsidRPr="002E765F" w:rsidRDefault="00DB4BB0">
        <w:pPr>
          <w:pStyle w:val="Kopfzeile"/>
          <w:rPr>
            <w:sz w:val="14"/>
          </w:rPr>
        </w:pPr>
        <w:r>
          <w:rPr>
            <w:noProof/>
            <w:lang w:eastAsia="de-DE"/>
          </w:rPr>
          <w:drawing>
            <wp:anchor distT="0" distB="0" distL="114300" distR="114300" simplePos="0" relativeHeight="251674624" behindDoc="0" locked="0" layoutInCell="1" allowOverlap="1" wp14:anchorId="0199ACB6" wp14:editId="7F836F25">
              <wp:simplePos x="0" y="0"/>
              <wp:positionH relativeFrom="page">
                <wp:posOffset>5443855</wp:posOffset>
              </wp:positionH>
              <wp:positionV relativeFrom="page">
                <wp:posOffset>323850</wp:posOffset>
              </wp:positionV>
              <wp:extent cx="1360800" cy="72000"/>
              <wp:effectExtent l="0" t="0" r="0" b="4445"/>
              <wp:wrapNone/>
              <wp:docPr id="10" name="Grafik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360800" cy="72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A171F4" w:rsidRPr="002E765F">
          <w:rPr>
            <w:noProof/>
            <w:sz w:val="14"/>
            <w:lang w:eastAsia="de-DE"/>
          </w:rPr>
          <mc:AlternateContent>
            <mc:Choice Requires="wps">
              <w:drawing>
                <wp:anchor distT="0" distB="0" distL="114300" distR="114300" simplePos="0" relativeHeight="251668480" behindDoc="0" locked="0" layoutInCell="1" allowOverlap="1" wp14:anchorId="704BE503" wp14:editId="2A9D9229">
                  <wp:simplePos x="0" y="0"/>
                  <wp:positionH relativeFrom="page">
                    <wp:posOffset>756285</wp:posOffset>
                  </wp:positionH>
                  <wp:positionV relativeFrom="page">
                    <wp:posOffset>702310</wp:posOffset>
                  </wp:positionV>
                  <wp:extent cx="6048000" cy="36000"/>
                  <wp:effectExtent l="0" t="0" r="0" b="2540"/>
                  <wp:wrapNone/>
                  <wp:docPr id="11" name="Rechteck 1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11" o:spid="_x0000_s1026" style="position:absolute;margin-left:59.55pt;margin-top:55.3pt;width:476.2pt;height:2.8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" fillcolor="#41535d [3215]" stroked="f" strokeweight="2pt">
                  <w10:wrap anchorx="page" anchory="page"/>
                </v:rect>
              </w:pict>
            </mc:Fallback>
          </mc:AlternateContent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0274487"/>
      <w:lock w:val="sdtContentLocked"/>
    </w:sdtPr>
    <w:sdtEndPr/>
    <w:sdtContent>
      <w:p w:rsidR="00A171F4" w:rsidRDefault="00A171F4">
        <w:pPr>
          <w:pStyle w:val="Kopfzeile"/>
        </w:pPr>
        <w:r>
          <w:rPr>
            <w:noProof/>
            <w:lang w:eastAsia="de-DE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0C18F2F5" wp14:editId="342D47BE">
                  <wp:simplePos x="0" y="0"/>
                  <wp:positionH relativeFrom="page">
                    <wp:posOffset>756285</wp:posOffset>
                  </wp:positionH>
                  <wp:positionV relativeFrom="page">
                    <wp:posOffset>935990</wp:posOffset>
                  </wp:positionV>
                  <wp:extent cx="6048000" cy="36000"/>
                  <wp:effectExtent l="0" t="0" r="0" b="2540"/>
                  <wp:wrapNone/>
                  <wp:docPr id="5" name="Rechteck 5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6048000" cy="3600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id="Rechteck 5" o:spid="_x0000_s1026" style="position:absolute;margin-left:59.55pt;margin-top:73.7pt;width:476.2pt;height:2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" fillcolor="#41535d [3215]" stroked="f" strokeweight="2pt">
                  <w10:wrap anchorx="page" anchory="page"/>
                </v:rect>
              </w:pict>
            </mc:Fallback>
          </mc:AlternateContent>
        </w:r>
        <w:r>
          <w:rPr>
            <w:noProof/>
            <w:lang w:eastAsia="de-DE"/>
          </w:rPr>
          <w:drawing>
            <wp:anchor distT="0" distB="0" distL="114300" distR="114300" simplePos="0" relativeHeight="251659264" behindDoc="0" locked="0" layoutInCell="1" allowOverlap="1" wp14:anchorId="48261A57" wp14:editId="78CD5F08">
              <wp:simplePos x="0" y="0"/>
              <wp:positionH relativeFrom="page">
                <wp:posOffset>5328920</wp:posOffset>
              </wp:positionH>
              <wp:positionV relativeFrom="page">
                <wp:posOffset>421005</wp:posOffset>
              </wp:positionV>
              <wp:extent cx="1476000" cy="79200"/>
              <wp:effectExtent l="0" t="0" r="0" b="0"/>
              <wp:wrapNone/>
              <wp:docPr id="3" name="Grafik 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tgen-Claim_RGB.wmf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476000" cy="792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noProof/>
            <w:lang w:eastAsia="de-DE"/>
          </w:rPr>
          <w:drawing>
            <wp:anchor distT="0" distB="0" distL="114300" distR="114300" simplePos="0" relativeHeight="251658240" behindDoc="0" locked="0" layoutInCell="1" allowOverlap="1" wp14:anchorId="79C3B787" wp14:editId="6464BF62">
              <wp:simplePos x="0" y="0"/>
              <wp:positionH relativeFrom="page">
                <wp:posOffset>756285</wp:posOffset>
              </wp:positionH>
              <wp:positionV relativeFrom="page">
                <wp:posOffset>360045</wp:posOffset>
              </wp:positionV>
              <wp:extent cx="3290400" cy="360000"/>
              <wp:effectExtent l="0" t="0" r="0" b="2540"/>
              <wp:wrapNone/>
              <wp:docPr id="1" name="Grafi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Wirgten Group.wmf"/>
                      <pic:cNvPicPr/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290400" cy="36000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3" type="#_x0000_t75" style="width:1500pt;height:1500pt" o:bullet="t">
        <v:imagedata r:id="rId1" o:title="AZ_04a"/>
      </v:shape>
    </w:pict>
  </w:numPicBullet>
  <w:numPicBullet w:numPicBulletId="1">
    <w:pict>
      <v:shape id="_x0000_i1094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Theme="minorHAnsi" w:hAnsiTheme="minorHAnsi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Theme="minorHAnsi" w:hAnsiTheme="minorHAnsi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Theme="minorHAnsi" w:hAnsiTheme="minorHAnsi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Theme="minorHAnsi" w:hAnsiTheme="minorHAnsi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Theme="minorHAnsi" w:hAnsiTheme="minorHAnsi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Theme="minorHAnsi" w:hAnsiTheme="minorHAnsi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Theme="minorHAnsi" w:hAnsiTheme="minorHAnsi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Theme="majorHAnsi" w:hAnsiTheme="majorHAnsi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Theme="majorHAnsi" w:hAnsiTheme="majorHAnsi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Theme="majorHAnsi" w:hAnsiTheme="majorHAnsi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118"/>
    <w:rsid w:val="00042106"/>
    <w:rsid w:val="00050E9B"/>
    <w:rsid w:val="0005285B"/>
    <w:rsid w:val="00066D09"/>
    <w:rsid w:val="00090A18"/>
    <w:rsid w:val="0009665C"/>
    <w:rsid w:val="000A25D1"/>
    <w:rsid w:val="000C1707"/>
    <w:rsid w:val="000F4963"/>
    <w:rsid w:val="00103205"/>
    <w:rsid w:val="0010354B"/>
    <w:rsid w:val="0012026F"/>
    <w:rsid w:val="00132055"/>
    <w:rsid w:val="00182CA8"/>
    <w:rsid w:val="001B16BB"/>
    <w:rsid w:val="001F14D0"/>
    <w:rsid w:val="0022702F"/>
    <w:rsid w:val="00253A2E"/>
    <w:rsid w:val="00260B90"/>
    <w:rsid w:val="00262491"/>
    <w:rsid w:val="0029634D"/>
    <w:rsid w:val="002A0FB9"/>
    <w:rsid w:val="002E765F"/>
    <w:rsid w:val="002F108B"/>
    <w:rsid w:val="002F27DF"/>
    <w:rsid w:val="0030316D"/>
    <w:rsid w:val="00334DEF"/>
    <w:rsid w:val="0034191A"/>
    <w:rsid w:val="00343CC7"/>
    <w:rsid w:val="00354627"/>
    <w:rsid w:val="00384A08"/>
    <w:rsid w:val="003967B8"/>
    <w:rsid w:val="003A753A"/>
    <w:rsid w:val="003E1CB6"/>
    <w:rsid w:val="003E3CF6"/>
    <w:rsid w:val="003E759F"/>
    <w:rsid w:val="003E7853"/>
    <w:rsid w:val="00403373"/>
    <w:rsid w:val="00403CF0"/>
    <w:rsid w:val="00406C81"/>
    <w:rsid w:val="00412545"/>
    <w:rsid w:val="00427118"/>
    <w:rsid w:val="00430BB0"/>
    <w:rsid w:val="004507AD"/>
    <w:rsid w:val="004532F9"/>
    <w:rsid w:val="004E6EF5"/>
    <w:rsid w:val="00506409"/>
    <w:rsid w:val="00530E32"/>
    <w:rsid w:val="005711A3"/>
    <w:rsid w:val="00573B2B"/>
    <w:rsid w:val="005776E9"/>
    <w:rsid w:val="005942A4"/>
    <w:rsid w:val="005A4F04"/>
    <w:rsid w:val="005B5793"/>
    <w:rsid w:val="00622538"/>
    <w:rsid w:val="006330A2"/>
    <w:rsid w:val="00642EB6"/>
    <w:rsid w:val="00650DCD"/>
    <w:rsid w:val="006630CD"/>
    <w:rsid w:val="006F7602"/>
    <w:rsid w:val="00710729"/>
    <w:rsid w:val="00722A17"/>
    <w:rsid w:val="00752377"/>
    <w:rsid w:val="00757B83"/>
    <w:rsid w:val="00791A69"/>
    <w:rsid w:val="00794830"/>
    <w:rsid w:val="00797CAA"/>
    <w:rsid w:val="007B39C2"/>
    <w:rsid w:val="007C2658"/>
    <w:rsid w:val="007C6C1A"/>
    <w:rsid w:val="007E20D0"/>
    <w:rsid w:val="007F39E3"/>
    <w:rsid w:val="00820315"/>
    <w:rsid w:val="008427F2"/>
    <w:rsid w:val="00843B45"/>
    <w:rsid w:val="00863129"/>
    <w:rsid w:val="008C2DB2"/>
    <w:rsid w:val="008D770E"/>
    <w:rsid w:val="0090337E"/>
    <w:rsid w:val="0090712E"/>
    <w:rsid w:val="009A3013"/>
    <w:rsid w:val="009C2378"/>
    <w:rsid w:val="009C240E"/>
    <w:rsid w:val="009D016F"/>
    <w:rsid w:val="009E251D"/>
    <w:rsid w:val="00A171F4"/>
    <w:rsid w:val="00A24EFC"/>
    <w:rsid w:val="00A977CE"/>
    <w:rsid w:val="00AD131F"/>
    <w:rsid w:val="00AF3B3A"/>
    <w:rsid w:val="00AF6569"/>
    <w:rsid w:val="00B06265"/>
    <w:rsid w:val="00B90F78"/>
    <w:rsid w:val="00BC706B"/>
    <w:rsid w:val="00BD1058"/>
    <w:rsid w:val="00BD67E8"/>
    <w:rsid w:val="00BF56B2"/>
    <w:rsid w:val="00C107ED"/>
    <w:rsid w:val="00C17BC4"/>
    <w:rsid w:val="00C457C3"/>
    <w:rsid w:val="00C644CA"/>
    <w:rsid w:val="00C73005"/>
    <w:rsid w:val="00CC115A"/>
    <w:rsid w:val="00CC5861"/>
    <w:rsid w:val="00CD2282"/>
    <w:rsid w:val="00CF36C9"/>
    <w:rsid w:val="00D035E6"/>
    <w:rsid w:val="00D06120"/>
    <w:rsid w:val="00D166AC"/>
    <w:rsid w:val="00DB4BB0"/>
    <w:rsid w:val="00E14608"/>
    <w:rsid w:val="00E21E67"/>
    <w:rsid w:val="00E30EBF"/>
    <w:rsid w:val="00E52D70"/>
    <w:rsid w:val="00E55534"/>
    <w:rsid w:val="00E914D1"/>
    <w:rsid w:val="00EA6FC5"/>
    <w:rsid w:val="00EC2F5B"/>
    <w:rsid w:val="00EF030C"/>
    <w:rsid w:val="00F20920"/>
    <w:rsid w:val="00F56318"/>
    <w:rsid w:val="00F75B79"/>
    <w:rsid w:val="00F82525"/>
    <w:rsid w:val="00F97FEA"/>
    <w:rsid w:val="00FA4EC4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6"/>
        <w:szCs w:val="16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unhideWhenUsed="0" w:qFormat="1"/>
    <w:lsdException w:name="heading 6" w:uiPriority="9" w:unhideWhenUsed="0" w:qFormat="1"/>
    <w:lsdException w:name="heading 7" w:uiPriority="9" w:unhideWhenUsed="0" w:qFormat="1"/>
    <w:lsdException w:name="heading 8" w:uiPriority="9" w:unhideWhenUsed="0" w:qFormat="1"/>
    <w:lsdException w:name="heading 9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uiPriority="22" w:unhideWhenUsed="0" w:qFormat="1"/>
    <w:lsdException w:name="Emphasis" w:semiHidden="0" w:uiPriority="8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semiHidden/>
    <w:qFormat/>
    <w:rsid w:val="003E7853"/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Theme="majorEastAsia" w:cstheme="majorBidi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asciiTheme="majorHAnsi" w:eastAsiaTheme="majorEastAsia" w:hAnsiTheme="majorHAnsi" w:cstheme="majorBidi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asciiTheme="majorHAnsi" w:eastAsiaTheme="majorEastAsia" w:hAnsiTheme="majorHAnsi" w:cstheme="majorBidi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asciiTheme="majorHAnsi" w:eastAsiaTheme="majorEastAsia" w:hAnsiTheme="majorHAnsi" w:cstheme="majorBidi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rPr>
      <w:szCs w:val="20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basedOn w:val="Absatz-Standardschriftart"/>
    <w:link w:val="berschrift1"/>
    <w:uiPriority w:val="9"/>
    <w:rsid w:val="00A171F4"/>
    <w:rPr>
      <w:rFonts w:eastAsiaTheme="majorEastAsia" w:cstheme="majorBidi"/>
      <w:b/>
      <w:sz w:val="40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E765F"/>
    <w:rPr>
      <w:rFonts w:asciiTheme="majorHAnsi" w:eastAsiaTheme="majorEastAsia" w:hAnsiTheme="majorHAnsi" w:cstheme="majorBidi"/>
      <w:b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2E765F"/>
    <w:rPr>
      <w:rFonts w:asciiTheme="majorHAnsi" w:eastAsiaTheme="majorEastAsia" w:hAnsiTheme="majorHAnsi" w:cstheme="majorBidi"/>
      <w:b/>
      <w:sz w:val="2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2E765F"/>
    <w:rPr>
      <w:rFonts w:asciiTheme="majorHAnsi" w:eastAsiaTheme="majorEastAsia" w:hAnsiTheme="majorHAnsi" w:cstheme="majorBidi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 w:themeColor="text2"/>
      <w:sz w:val="18"/>
    </w:rPr>
  </w:style>
  <w:style w:type="character" w:customStyle="1" w:styleId="FuzeileZchn">
    <w:name w:val="Fußzeile Zchn"/>
    <w:basedOn w:val="Absatz-Standardschriftart"/>
    <w:link w:val="Fuzeile"/>
    <w:uiPriority w:val="99"/>
    <w:rsid w:val="00642EB6"/>
    <w:rPr>
      <w:color w:val="41535D" w:themeColor="text2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customStyle="1" w:styleId="TitelZchn">
    <w:name w:val="Titel Zchn"/>
    <w:basedOn w:val="Absatz-Standardschriftart"/>
    <w:link w:val="Titel"/>
    <w:rsid w:val="0030316D"/>
    <w:rPr>
      <w:rFonts w:asciiTheme="majorHAnsi" w:eastAsiaTheme="majorEastAsia" w:hAnsiTheme="majorHAnsi" w:cstheme="majorBidi"/>
      <w:b/>
      <w:color w:val="5C666F" w:themeColor="accent1"/>
      <w:sz w:val="40"/>
      <w:szCs w:val="52"/>
    </w:rPr>
  </w:style>
  <w:style w:type="character" w:styleId="Hervorhebung">
    <w:name w:val="Emphasis"/>
    <w:basedOn w:val="Absatz-Standardschriftart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character" w:customStyle="1" w:styleId="UntertitelZchn">
    <w:name w:val="Untertitel Zchn"/>
    <w:basedOn w:val="Absatz-Standardschriftart"/>
    <w:link w:val="Untertitel"/>
    <w:rsid w:val="00843B45"/>
    <w:rPr>
      <w:rFonts w:asciiTheme="majorHAnsi" w:eastAsiaTheme="majorEastAsia" w:hAnsiTheme="majorHAnsi" w:cstheme="majorBidi"/>
      <w:iCs/>
      <w:color w:val="5C666F" w:themeColor="accent1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styleId="Listenabsatz">
    <w:name w:val="List Paragraph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basedOn w:val="Absatz-Standardschriftart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styleId="SchwacheHervorhebung">
    <w:name w:val="Subtle Emphasis"/>
    <w:basedOn w:val="Absatz-Standardschriftart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 w:themeColor="text2"/>
        <w:bottom w:val="single" w:sz="2" w:space="0" w:color="41535D" w:themeColor="text2"/>
        <w:right w:val="single" w:sz="2" w:space="0" w:color="41535D" w:themeColor="text2"/>
        <w:insideH w:val="single" w:sz="2" w:space="0" w:color="41535D" w:themeColor="text2"/>
        <w:insideV w:val="single" w:sz="2" w:space="0" w:color="41535D" w:themeColor="text2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 w:themeColor="background1"/>
      </w:rPr>
      <w:tblPr/>
      <w:tcPr>
        <w:tcBorders>
          <w:top w:val="single" w:sz="2" w:space="0" w:color="FFFFFF" w:themeColor="background1"/>
          <w:left w:val="single" w:sz="2" w:space="0" w:color="41535D" w:themeColor="text2"/>
          <w:bottom w:val="single" w:sz="2" w:space="0" w:color="FFFFFF" w:themeColor="background1"/>
          <w:right w:val="single" w:sz="2" w:space="0" w:color="41535D" w:themeColor="text2"/>
          <w:insideH w:val="single" w:sz="2" w:space="0" w:color="FFFFFF" w:themeColor="background1"/>
          <w:insideV w:val="single" w:sz="2" w:space="0" w:color="FFFFFF" w:themeColor="background1"/>
          <w:tl2br w:val="nil"/>
          <w:tr2bl w:val="nil"/>
        </w:tcBorders>
        <w:shd w:val="clear" w:color="auto" w:fill="41535D" w:themeFill="text2"/>
      </w:tcPr>
    </w:tblStylePr>
    <w:tblStylePr w:type="lastRow">
      <w:rPr>
        <w:b/>
      </w:rPr>
      <w:tblPr/>
      <w:tcPr>
        <w:tcBorders>
          <w:top w:val="single" w:sz="4" w:space="0" w:color="41535D" w:themeColor="text1"/>
          <w:bottom w:val="single" w:sz="4" w:space="0" w:color="41535D" w:themeColor="text1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 w:themeColor="text1"/>
      <w:szCs w:val="18"/>
    </w:rPr>
  </w:style>
  <w:style w:type="paragraph" w:styleId="Inhaltsverzeichnisberschrift">
    <w:name w:val="TOC Heading"/>
    <w:basedOn w:val="berschrift1"/>
    <w:next w:val="Standard"/>
    <w:uiPriority w:val="39"/>
    <w:qFormat/>
    <w:rsid w:val="00BD1058"/>
    <w:pPr>
      <w:spacing w:line="240" w:lineRule="auto"/>
      <w:outlineLvl w:val="9"/>
    </w:pPr>
    <w:rPr>
      <w:rFonts w:asciiTheme="majorHAnsi" w:hAnsiTheme="majorHAnsi"/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basedOn w:val="Absatz-Standardschriftart"/>
    <w:uiPriority w:val="99"/>
    <w:unhideWhenUsed/>
    <w:rsid w:val="00BD1058"/>
    <w:rPr>
      <w:color w:val="41535D" w:themeColor="hyperlink"/>
      <w:u w:val="single"/>
    </w:rPr>
  </w:style>
  <w:style w:type="character" w:styleId="Platzhaltertext">
    <w:name w:val="Placeholder Text"/>
    <w:basedOn w:val="Absatz-Standardschriftart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9.wmf"/><Relationship Id="rId1" Type="http://schemas.openxmlformats.org/officeDocument/2006/relationships/image" Target="media/image8.w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Wirtgen_Wirtgen">
      <a:dk1>
        <a:srgbClr val="41535D"/>
      </a:dk1>
      <a:lt1>
        <a:sysClr val="window" lastClr="FFFFFF"/>
      </a:lt1>
      <a:dk2>
        <a:srgbClr val="41535D"/>
      </a:dk2>
      <a:lt2>
        <a:srgbClr val="ADB2B6"/>
      </a:lt2>
      <a:accent1>
        <a:srgbClr val="5C666F"/>
      </a:accent1>
      <a:accent2>
        <a:srgbClr val="7C848C"/>
      </a:accent2>
      <a:accent3>
        <a:srgbClr val="9DA3A8"/>
      </a:accent3>
      <a:accent4>
        <a:srgbClr val="BDC1C5"/>
      </a:accent4>
      <a:accent5>
        <a:srgbClr val="DEE0E2"/>
      </a:accent5>
      <a:accent6>
        <a:srgbClr val="EEEFF0"/>
      </a:accent6>
      <a:hlink>
        <a:srgbClr val="41535D"/>
      </a:hlink>
      <a:folHlink>
        <a:srgbClr val="9DA3A8"/>
      </a:folHlink>
    </a:clrScheme>
    <a:fontScheme name="Wirtgen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61068-6368-43AC-AE01-4E0F78C0D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435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3174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Linnemann Mario</cp:lastModifiedBy>
  <cp:revision>2</cp:revision>
  <dcterms:created xsi:type="dcterms:W3CDTF">2018-02-19T10:12:00Z</dcterms:created>
  <dcterms:modified xsi:type="dcterms:W3CDTF">2018-02-19T10:12:00Z</dcterms:modified>
</cp:coreProperties>
</file>